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CellMar>
          <w:left w:w="0" w:type="dxa"/>
          <w:right w:w="0" w:type="dxa"/>
        </w:tblCellMar>
        <w:tblLook w:val="04A0" w:firstRow="1" w:lastRow="0" w:firstColumn="1" w:lastColumn="0" w:noHBand="0" w:noVBand="1"/>
      </w:tblPr>
      <w:tblGrid>
        <w:gridCol w:w="10875"/>
      </w:tblGrid>
      <w:tr w:rsidR="00C30BA5" w:rsidRPr="00C30BA5" w:rsidTr="00C30BA5">
        <w:tc>
          <w:tcPr>
            <w:tcW w:w="5000" w:type="pct"/>
            <w:tcMar>
              <w:top w:w="525" w:type="dxa"/>
              <w:left w:w="0" w:type="dxa"/>
              <w:bottom w:w="450" w:type="dxa"/>
              <w:right w:w="0" w:type="dxa"/>
            </w:tcMar>
            <w:vAlign w:val="center"/>
            <w:hideMark/>
          </w:tcPr>
          <w:p w:rsidR="00C30BA5" w:rsidRPr="00C30BA5" w:rsidRDefault="00C30BA5" w:rsidP="00C30BA5">
            <w:pPr>
              <w:spacing w:after="0" w:line="300" w:lineRule="atLeast"/>
              <w:rPr>
                <w:rFonts w:ascii="Verdana" w:eastAsia="Times New Roman" w:hAnsi="Verdana" w:cs="Times New Roman"/>
                <w:color w:val="0B2265"/>
                <w:sz w:val="33"/>
                <w:szCs w:val="33"/>
                <w:lang w:val="uk-UA" w:eastAsia="ru-RU"/>
              </w:rPr>
            </w:pPr>
            <w:r w:rsidRPr="00C30BA5">
              <w:rPr>
                <w:rFonts w:ascii="Verdana" w:eastAsia="Times New Roman" w:hAnsi="Verdana" w:cs="Times New Roman"/>
                <w:color w:val="0B2265"/>
                <w:sz w:val="33"/>
                <w:szCs w:val="33"/>
                <w:lang w:val="uk-UA" w:eastAsia="ru-RU"/>
              </w:rPr>
              <w:t>Облігації АТ «ТАСКОМБАНК»</w:t>
            </w:r>
          </w:p>
        </w:tc>
      </w:tr>
    </w:tbl>
    <w:p w:rsidR="00C30BA5" w:rsidRPr="00C30BA5" w:rsidRDefault="00C30BA5" w:rsidP="00C30BA5">
      <w:pPr>
        <w:spacing w:after="0" w:line="240" w:lineRule="auto"/>
        <w:rPr>
          <w:rFonts w:ascii="Times New Roman" w:eastAsia="Times New Roman" w:hAnsi="Times New Roman" w:cs="Times New Roman"/>
          <w:vanish/>
          <w:sz w:val="24"/>
          <w:szCs w:val="24"/>
          <w:lang w:val="uk-UA" w:eastAsia="ru-RU"/>
        </w:rPr>
      </w:pPr>
    </w:p>
    <w:tbl>
      <w:tblPr>
        <w:tblW w:w="10875" w:type="dxa"/>
        <w:tblCellMar>
          <w:left w:w="0" w:type="dxa"/>
          <w:right w:w="0" w:type="dxa"/>
        </w:tblCellMar>
        <w:tblLook w:val="04A0" w:firstRow="1" w:lastRow="0" w:firstColumn="1" w:lastColumn="0" w:noHBand="0" w:noVBand="1"/>
      </w:tblPr>
      <w:tblGrid>
        <w:gridCol w:w="10875"/>
      </w:tblGrid>
      <w:tr w:rsidR="00C30BA5" w:rsidRPr="00C30BA5" w:rsidTr="00C30BA5">
        <w:tc>
          <w:tcPr>
            <w:tcW w:w="0" w:type="auto"/>
            <w:hideMark/>
          </w:tcPr>
          <w:p w:rsidR="00C30BA5" w:rsidRPr="00C30BA5" w:rsidRDefault="00C30BA5" w:rsidP="00C30BA5">
            <w:pPr>
              <w:spacing w:after="0" w:line="300" w:lineRule="atLeast"/>
              <w:jc w:val="both"/>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 xml:space="preserve">АТ «ТАСКОМБАНК» пропонує своїм клієнтам диверсифікувати свої вклади шляхом придбання облігацій АТ «ТАСКОМБАНК». На сьогодні в обігу знаходяться випуски облігацій АТ «ТАСКОМБАНК» серій </w:t>
            </w:r>
            <w:r w:rsidRPr="00CD3D5D">
              <w:rPr>
                <w:rFonts w:ascii="Verdana" w:eastAsia="Times New Roman" w:hAnsi="Verdana" w:cs="Times New Roman"/>
                <w:color w:val="1E1E1E"/>
                <w:sz w:val="20"/>
                <w:szCs w:val="20"/>
                <w:lang w:val="uk-UA" w:eastAsia="ru-RU"/>
              </w:rPr>
              <w:t>Е</w:t>
            </w:r>
            <w:r w:rsidRPr="00C30BA5">
              <w:rPr>
                <w:rFonts w:ascii="Verdana" w:eastAsia="Times New Roman" w:hAnsi="Verdana" w:cs="Times New Roman"/>
                <w:color w:val="1E1E1E"/>
                <w:sz w:val="20"/>
                <w:szCs w:val="20"/>
                <w:lang w:val="uk-UA" w:eastAsia="ru-RU"/>
              </w:rPr>
              <w:t xml:space="preserve"> та </w:t>
            </w:r>
            <w:r w:rsidRPr="00CD3D5D">
              <w:rPr>
                <w:rFonts w:ascii="Verdana" w:eastAsia="Times New Roman" w:hAnsi="Verdana" w:cs="Times New Roman"/>
                <w:color w:val="1E1E1E"/>
                <w:sz w:val="20"/>
                <w:szCs w:val="20"/>
                <w:lang w:val="uk-UA" w:eastAsia="ru-RU"/>
              </w:rPr>
              <w:t>F</w:t>
            </w:r>
            <w:r w:rsidRPr="00C30BA5">
              <w:rPr>
                <w:rFonts w:ascii="Verdana" w:eastAsia="Times New Roman" w:hAnsi="Verdana" w:cs="Times New Roman"/>
                <w:color w:val="1E1E1E"/>
                <w:sz w:val="20"/>
                <w:szCs w:val="20"/>
                <w:lang w:val="uk-UA" w:eastAsia="ru-RU"/>
              </w:rPr>
              <w:t xml:space="preserve"> обсягом по 100 млн. грн. кожний.</w:t>
            </w:r>
          </w:p>
          <w:p w:rsidR="00C30BA5" w:rsidRPr="00CD3D5D" w:rsidRDefault="00C30BA5" w:rsidP="00C30BA5">
            <w:pPr>
              <w:spacing w:after="0" w:line="300" w:lineRule="atLeast"/>
              <w:jc w:val="both"/>
              <w:rPr>
                <w:rFonts w:ascii="Verdana" w:eastAsia="Times New Roman" w:hAnsi="Verdana" w:cs="Times New Roman"/>
                <w:b/>
                <w:bCs/>
                <w:color w:val="0B2265"/>
                <w:sz w:val="20"/>
                <w:szCs w:val="20"/>
                <w:lang w:val="uk-UA" w:eastAsia="ru-RU"/>
              </w:rPr>
            </w:pPr>
          </w:p>
          <w:p w:rsidR="00C30BA5" w:rsidRPr="00C30BA5" w:rsidRDefault="00C30BA5" w:rsidP="00C30BA5">
            <w:pPr>
              <w:spacing w:after="0" w:line="300" w:lineRule="atLeast"/>
              <w:jc w:val="both"/>
              <w:rPr>
                <w:rFonts w:ascii="Verdana" w:eastAsia="Times New Roman" w:hAnsi="Verdana" w:cs="Times New Roman"/>
                <w:color w:val="1E1E1E"/>
                <w:sz w:val="20"/>
                <w:szCs w:val="20"/>
                <w:lang w:val="uk-UA" w:eastAsia="ru-RU"/>
              </w:rPr>
            </w:pPr>
            <w:r w:rsidRPr="00CD3D5D">
              <w:rPr>
                <w:rFonts w:ascii="Verdana" w:eastAsia="Times New Roman" w:hAnsi="Verdana" w:cs="Times New Roman"/>
                <w:b/>
                <w:bCs/>
                <w:color w:val="0B2265"/>
                <w:sz w:val="20"/>
                <w:szCs w:val="20"/>
                <w:lang w:val="uk-UA" w:eastAsia="ru-RU"/>
              </w:rPr>
              <w:t>Стисла характеристика випусків:</w:t>
            </w:r>
          </w:p>
          <w:tbl>
            <w:tblPr>
              <w:tblW w:w="0" w:type="auto"/>
              <w:tblCellSpacing w:w="0" w:type="dxa"/>
              <w:tblBorders>
                <w:top w:val="single" w:sz="6" w:space="0" w:color="DADADA"/>
                <w:left w:val="single" w:sz="6" w:space="0" w:color="DADADA"/>
              </w:tblBorders>
              <w:tblCellMar>
                <w:left w:w="0" w:type="dxa"/>
                <w:right w:w="0" w:type="dxa"/>
              </w:tblCellMar>
              <w:tblLook w:val="04A0" w:firstRow="1" w:lastRow="0" w:firstColumn="1" w:lastColumn="0" w:noHBand="0" w:noVBand="1"/>
            </w:tblPr>
            <w:tblGrid>
              <w:gridCol w:w="3654"/>
              <w:gridCol w:w="3706"/>
              <w:gridCol w:w="3499"/>
            </w:tblGrid>
            <w:tr w:rsidR="00C30BA5" w:rsidRPr="00CD3D5D" w:rsidTr="00C30BA5">
              <w:trPr>
                <w:tblCellSpacing w:w="0" w:type="dxa"/>
              </w:trPr>
              <w:tc>
                <w:tcPr>
                  <w:tcW w:w="1880" w:type="dxa"/>
                  <w:tcBorders>
                    <w:bottom w:val="single" w:sz="6" w:space="0" w:color="DADADA"/>
                    <w:right w:val="single" w:sz="6" w:space="0" w:color="DADADA"/>
                  </w:tcBorders>
                  <w:shd w:val="clear" w:color="auto" w:fill="EBEBEB"/>
                  <w:vAlign w:val="center"/>
                  <w:hideMark/>
                </w:tcPr>
                <w:p w:rsidR="00C30BA5" w:rsidRPr="00C30BA5" w:rsidRDefault="00C30BA5" w:rsidP="00C30BA5">
                  <w:pPr>
                    <w:spacing w:after="0" w:line="240" w:lineRule="auto"/>
                    <w:rPr>
                      <w:rFonts w:ascii="Times New Roman" w:eastAsia="Times New Roman" w:hAnsi="Times New Roman" w:cs="Times New Roman"/>
                      <w:color w:val="474950"/>
                      <w:sz w:val="16"/>
                      <w:szCs w:val="16"/>
                      <w:lang w:val="uk-UA" w:eastAsia="ru-RU"/>
                    </w:rPr>
                  </w:pPr>
                  <w:r w:rsidRPr="00C30BA5">
                    <w:rPr>
                      <w:rFonts w:ascii="Times New Roman" w:eastAsia="Times New Roman" w:hAnsi="Times New Roman" w:cs="Times New Roman"/>
                      <w:color w:val="474950"/>
                      <w:sz w:val="16"/>
                      <w:szCs w:val="16"/>
                      <w:lang w:val="uk-UA" w:eastAsia="ru-RU"/>
                    </w:rPr>
                    <w:t>Облігації</w:t>
                  </w:r>
                </w:p>
              </w:tc>
              <w:tc>
                <w:tcPr>
                  <w:tcW w:w="4633" w:type="dxa"/>
                  <w:tcBorders>
                    <w:bottom w:val="single" w:sz="6" w:space="0" w:color="DADADA"/>
                    <w:right w:val="single" w:sz="6" w:space="0" w:color="DADADA"/>
                  </w:tcBorders>
                  <w:shd w:val="clear" w:color="auto" w:fill="EBEBEB"/>
                  <w:vAlign w:val="center"/>
                  <w:hideMark/>
                </w:tcPr>
                <w:p w:rsidR="00C30BA5" w:rsidRPr="00C30BA5" w:rsidRDefault="00C30BA5" w:rsidP="00C30BA5">
                  <w:pPr>
                    <w:spacing w:after="0" w:line="300" w:lineRule="atLeast"/>
                    <w:jc w:val="center"/>
                    <w:rPr>
                      <w:rFonts w:ascii="Times New Roman" w:eastAsia="Times New Roman" w:hAnsi="Times New Roman" w:cs="Times New Roman"/>
                      <w:color w:val="474950"/>
                      <w:sz w:val="16"/>
                      <w:szCs w:val="16"/>
                      <w:lang w:val="uk-UA" w:eastAsia="ru-RU"/>
                    </w:rPr>
                  </w:pPr>
                  <w:r w:rsidRPr="00C30BA5">
                    <w:rPr>
                      <w:rFonts w:ascii="Times New Roman" w:eastAsia="Times New Roman" w:hAnsi="Times New Roman" w:cs="Times New Roman"/>
                      <w:color w:val="474950"/>
                      <w:sz w:val="16"/>
                      <w:szCs w:val="16"/>
                      <w:lang w:val="uk-UA" w:eastAsia="ru-RU"/>
                    </w:rPr>
                    <w:t>Серія E</w:t>
                  </w:r>
                </w:p>
              </w:tc>
              <w:tc>
                <w:tcPr>
                  <w:tcW w:w="4346" w:type="dxa"/>
                  <w:tcBorders>
                    <w:bottom w:val="single" w:sz="6" w:space="0" w:color="DADADA"/>
                    <w:right w:val="single" w:sz="6" w:space="0" w:color="DADADA"/>
                  </w:tcBorders>
                  <w:shd w:val="clear" w:color="auto" w:fill="EBEBEB"/>
                  <w:vAlign w:val="center"/>
                  <w:hideMark/>
                </w:tcPr>
                <w:p w:rsidR="00C30BA5" w:rsidRPr="00C30BA5" w:rsidRDefault="00C30BA5" w:rsidP="00C30BA5">
                  <w:pPr>
                    <w:spacing w:after="0" w:line="300" w:lineRule="atLeast"/>
                    <w:jc w:val="center"/>
                    <w:rPr>
                      <w:rFonts w:ascii="Times New Roman" w:eastAsia="Times New Roman" w:hAnsi="Times New Roman" w:cs="Times New Roman"/>
                      <w:color w:val="474950"/>
                      <w:sz w:val="16"/>
                      <w:szCs w:val="16"/>
                      <w:lang w:val="uk-UA" w:eastAsia="ru-RU"/>
                    </w:rPr>
                  </w:pPr>
                  <w:r w:rsidRPr="00C30BA5">
                    <w:rPr>
                      <w:rFonts w:ascii="Times New Roman" w:eastAsia="Times New Roman" w:hAnsi="Times New Roman" w:cs="Times New Roman"/>
                      <w:color w:val="474950"/>
                      <w:sz w:val="16"/>
                      <w:szCs w:val="16"/>
                      <w:lang w:val="uk-UA" w:eastAsia="ru-RU"/>
                    </w:rPr>
                    <w:t>Серія F</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Обсяг випуску</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100 000 000,00 грн</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100 000 000,00 грн</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Тип випуску</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відкритий</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відкритий</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Номінал однієї облігації</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1 000,00 грн</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1 000,00 грн</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Загальний строк обігу</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5 років</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5 років</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Оферта</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річна</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річна</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Ціна викупу за офертою</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номінал</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номінал</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D551C8">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 xml:space="preserve">Номінальна відсоткова </w:t>
                  </w:r>
                  <w:r w:rsidR="00D551C8">
                    <w:rPr>
                      <w:rFonts w:ascii="Verdana" w:eastAsia="Times New Roman" w:hAnsi="Verdana" w:cs="Times New Roman"/>
                      <w:color w:val="1E1E1E"/>
                      <w:sz w:val="16"/>
                      <w:szCs w:val="16"/>
                      <w:lang w:val="uk-UA" w:eastAsia="ru-RU"/>
                    </w:rPr>
                    <w:t>с</w:t>
                  </w:r>
                  <w:r w:rsidRPr="00C30BA5">
                    <w:rPr>
                      <w:rFonts w:ascii="Verdana" w:eastAsia="Times New Roman" w:hAnsi="Verdana" w:cs="Times New Roman"/>
                      <w:color w:val="1E1E1E"/>
                      <w:sz w:val="16"/>
                      <w:szCs w:val="16"/>
                      <w:lang w:val="uk-UA" w:eastAsia="ru-RU"/>
                    </w:rPr>
                    <w:t>тавка на поточний рік обігу</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16%</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16%</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Періодичність </w:t>
                  </w:r>
                  <w:r w:rsidRPr="00C30BA5">
                    <w:rPr>
                      <w:rFonts w:ascii="Verdana" w:eastAsia="Times New Roman" w:hAnsi="Verdana" w:cs="Times New Roman"/>
                      <w:color w:val="1E1E1E"/>
                      <w:sz w:val="16"/>
                      <w:szCs w:val="16"/>
                      <w:lang w:val="uk-UA" w:eastAsia="ru-RU"/>
                    </w:rPr>
                    <w:br/>
                    <w:t>виплати відсотків</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щоквартально</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щоквартально</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Дата початку розміщення</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22.08.2014</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15.08.2017</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Дата погашення</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09.08.2019</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10.08.2022</w:t>
                  </w:r>
                </w:p>
              </w:tc>
            </w:tr>
            <w:tr w:rsidR="00C30BA5" w:rsidRPr="00CD3D5D" w:rsidTr="00C30BA5">
              <w:trPr>
                <w:tblCellSpacing w:w="0" w:type="dxa"/>
              </w:trPr>
              <w:tc>
                <w:tcPr>
                  <w:tcW w:w="0" w:type="auto"/>
                  <w:tcBorders>
                    <w:bottom w:val="single" w:sz="6" w:space="0" w:color="DADADA"/>
                    <w:right w:val="single" w:sz="6" w:space="0" w:color="DADADA"/>
                  </w:tcBorders>
                  <w:vAlign w:val="center"/>
                  <w:hideMark/>
                </w:tcPr>
                <w:p w:rsidR="00C30BA5" w:rsidRPr="00C30BA5" w:rsidRDefault="00C30BA5" w:rsidP="00C30BA5">
                  <w:pPr>
                    <w:spacing w:after="0" w:line="300" w:lineRule="atLeast"/>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Дати виплати відсотків</w:t>
                  </w:r>
                  <w:r w:rsidR="00D551C8">
                    <w:rPr>
                      <w:rFonts w:ascii="Verdana" w:eastAsia="Times New Roman" w:hAnsi="Verdana" w:cs="Times New Roman"/>
                      <w:color w:val="1E1E1E"/>
                      <w:sz w:val="16"/>
                      <w:szCs w:val="16"/>
                      <w:lang w:val="uk-UA" w:eastAsia="ru-RU"/>
                    </w:rPr>
                    <w:t>, що залишилися до погашення</w:t>
                  </w:r>
                </w:p>
              </w:tc>
              <w:tc>
                <w:tcPr>
                  <w:tcW w:w="4633"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10.08.2018, 09.11.2018, 08.02.2019, 10.05.2019, 09.08.2019</w:t>
                  </w:r>
                </w:p>
              </w:tc>
              <w:tc>
                <w:tcPr>
                  <w:tcW w:w="4346" w:type="dxa"/>
                  <w:tcBorders>
                    <w:bottom w:val="single" w:sz="6" w:space="0" w:color="DADADA"/>
                    <w:right w:val="single" w:sz="6" w:space="0" w:color="DADADA"/>
                  </w:tcBorders>
                  <w:vAlign w:val="center"/>
                  <w:hideMark/>
                </w:tcPr>
                <w:p w:rsidR="00C30BA5" w:rsidRPr="00C30BA5" w:rsidRDefault="00C30BA5" w:rsidP="00C30BA5">
                  <w:pPr>
                    <w:spacing w:after="0" w:line="300" w:lineRule="atLeast"/>
                    <w:jc w:val="center"/>
                    <w:rPr>
                      <w:rFonts w:ascii="Verdana" w:eastAsia="Times New Roman" w:hAnsi="Verdana" w:cs="Times New Roman"/>
                      <w:color w:val="1E1E1E"/>
                      <w:sz w:val="16"/>
                      <w:szCs w:val="16"/>
                      <w:lang w:val="uk-UA" w:eastAsia="ru-RU"/>
                    </w:rPr>
                  </w:pPr>
                  <w:r w:rsidRPr="00C30BA5">
                    <w:rPr>
                      <w:rFonts w:ascii="Verdana" w:eastAsia="Times New Roman" w:hAnsi="Verdana" w:cs="Times New Roman"/>
                      <w:color w:val="1E1E1E"/>
                      <w:sz w:val="16"/>
                      <w:szCs w:val="16"/>
                      <w:lang w:val="uk-UA" w:eastAsia="ru-RU"/>
                    </w:rPr>
                    <w:t>14.08.2018, 13.11.2018, 12.02.2019, 14.05.2019, 13.08.2019, 12.11.2019, 11.02.2020, 12.05.2020, 11.08.2020, 10.11.2020, 09.02.2021, 11.05.2021, 10.08.2021, 09.11.2021, 08.02.2022, 10.05.2022, 09.08.2022</w:t>
                  </w:r>
                </w:p>
              </w:tc>
            </w:tr>
          </w:tbl>
          <w:p w:rsidR="00C30BA5" w:rsidRPr="00C30BA5" w:rsidRDefault="00C30BA5" w:rsidP="00C30BA5">
            <w:pPr>
              <w:spacing w:after="0" w:line="300" w:lineRule="atLeast"/>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 </w:t>
            </w:r>
          </w:p>
          <w:p w:rsidR="00C30BA5" w:rsidRPr="00C30BA5" w:rsidRDefault="00C30BA5" w:rsidP="00C30BA5">
            <w:pPr>
              <w:spacing w:after="0" w:line="300" w:lineRule="atLeast"/>
              <w:rPr>
                <w:rFonts w:ascii="Verdana" w:eastAsia="Times New Roman" w:hAnsi="Verdana" w:cs="Times New Roman"/>
                <w:color w:val="1E1E1E"/>
                <w:sz w:val="20"/>
                <w:szCs w:val="20"/>
                <w:lang w:val="uk-UA" w:eastAsia="ru-RU"/>
              </w:rPr>
            </w:pPr>
            <w:hyperlink r:id="rId6" w:history="1">
              <w:r w:rsidRPr="00CD3D5D">
                <w:rPr>
                  <w:rFonts w:ascii="Verdana" w:eastAsia="Times New Roman" w:hAnsi="Verdana" w:cs="Times New Roman"/>
                  <w:color w:val="0B2265"/>
                  <w:sz w:val="20"/>
                  <w:szCs w:val="20"/>
                  <w:u w:val="single"/>
                  <w:lang w:val="uk-UA" w:eastAsia="ru-RU"/>
                </w:rPr>
                <w:t>Проспект емісії облігацій серії E</w:t>
              </w:r>
            </w:hyperlink>
            <w:r w:rsidRPr="00C30BA5">
              <w:rPr>
                <w:rFonts w:ascii="Verdana" w:eastAsia="Times New Roman" w:hAnsi="Verdana" w:cs="Times New Roman"/>
                <w:color w:val="1E1E1E"/>
                <w:sz w:val="20"/>
                <w:szCs w:val="20"/>
                <w:lang w:val="uk-UA" w:eastAsia="ru-RU"/>
              </w:rPr>
              <w:br/>
            </w:r>
            <w:hyperlink r:id="rId7" w:history="1">
              <w:r w:rsidRPr="00CD3D5D">
                <w:rPr>
                  <w:rFonts w:ascii="Verdana" w:eastAsia="Times New Roman" w:hAnsi="Verdana" w:cs="Times New Roman"/>
                  <w:color w:val="0B2265"/>
                  <w:sz w:val="20"/>
                  <w:szCs w:val="20"/>
                  <w:u w:val="single"/>
                  <w:lang w:val="uk-UA" w:eastAsia="ru-RU"/>
                </w:rPr>
                <w:t>Проспект емісії облігацій серії F</w:t>
              </w:r>
            </w:hyperlink>
          </w:p>
          <w:p w:rsidR="00C30BA5" w:rsidRPr="00C30BA5" w:rsidRDefault="00C30BA5" w:rsidP="00C30BA5">
            <w:pPr>
              <w:spacing w:after="0" w:line="300" w:lineRule="atLeast"/>
              <w:rPr>
                <w:rFonts w:ascii="Verdana" w:eastAsia="Times New Roman" w:hAnsi="Verdana" w:cs="Times New Roman"/>
                <w:color w:val="1E1E1E"/>
                <w:sz w:val="20"/>
                <w:szCs w:val="20"/>
                <w:lang w:val="uk-UA" w:eastAsia="ru-RU"/>
              </w:rPr>
            </w:pPr>
            <w:hyperlink r:id="rId8" w:tgtFrame="_blank" w:tooltip="Свідоцтво про випуск облігацій серії E" w:history="1">
              <w:r w:rsidRPr="00CD3D5D">
                <w:rPr>
                  <w:rFonts w:ascii="Verdana" w:eastAsia="Times New Roman" w:hAnsi="Verdana" w:cs="Times New Roman"/>
                  <w:color w:val="0B2265"/>
                  <w:sz w:val="20"/>
                  <w:szCs w:val="20"/>
                  <w:u w:val="single"/>
                  <w:lang w:val="uk-UA" w:eastAsia="ru-RU"/>
                </w:rPr>
                <w:t>Свідоцтво про випуск облігацій серії E</w:t>
              </w:r>
            </w:hyperlink>
            <w:r w:rsidRPr="00C30BA5">
              <w:rPr>
                <w:rFonts w:ascii="Verdana" w:eastAsia="Times New Roman" w:hAnsi="Verdana" w:cs="Times New Roman"/>
                <w:color w:val="1E1E1E"/>
                <w:sz w:val="20"/>
                <w:szCs w:val="20"/>
                <w:lang w:val="uk-UA" w:eastAsia="ru-RU"/>
              </w:rPr>
              <w:br/>
            </w:r>
            <w:hyperlink r:id="rId9" w:tgtFrame="_blank" w:tooltip="Свідоцтво про випуск облігацій серії F" w:history="1">
              <w:r w:rsidRPr="00CD3D5D">
                <w:rPr>
                  <w:rFonts w:ascii="Verdana" w:eastAsia="Times New Roman" w:hAnsi="Verdana" w:cs="Times New Roman"/>
                  <w:color w:val="0B2265"/>
                  <w:sz w:val="20"/>
                  <w:szCs w:val="20"/>
                  <w:u w:val="single"/>
                  <w:lang w:val="uk-UA" w:eastAsia="ru-RU"/>
                </w:rPr>
                <w:t>Свідоцтво про випуск облігацій серії F</w:t>
              </w:r>
            </w:hyperlink>
          </w:p>
          <w:p w:rsidR="00C30BA5" w:rsidRPr="00CD3D5D"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bookmarkStart w:id="0" w:name="_GoBack"/>
            <w:bookmarkEnd w:id="0"/>
          </w:p>
          <w:p w:rsidR="00C30BA5" w:rsidRPr="00C30BA5"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Відсоткова ставка з другого року обігу встановлюється банком з урахуванням ринкової кон'юнктури, проте не може бути нижче облікової ставки Національного банку України.</w:t>
            </w:r>
          </w:p>
          <w:p w:rsidR="00C30BA5" w:rsidRPr="00C30BA5"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Реалізація облігацій на вторинному ринку не має прив'язки до номінальної відсоткової ставки та відбувається на поточних ринкових умовах. Також Ви маєте можливість придбати облігації на умовах їх дострокового викупу на взаємовигідний для обох сторін строк.</w:t>
            </w:r>
          </w:p>
          <w:p w:rsidR="00C30BA5" w:rsidRPr="00C30BA5"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Облігації АТ «ТАСКОМБАНК» входять до котирувального списку другого рівня лістингу на біржі ПФТС.</w:t>
            </w:r>
          </w:p>
          <w:p w:rsidR="00C30BA5" w:rsidRPr="00C30BA5"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Обіг облігацій можливий як на біржовому, так і на позабіржовому ринках.</w:t>
            </w:r>
          </w:p>
          <w:p w:rsidR="00C30BA5" w:rsidRPr="00C30BA5"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Облігації можуть бути реалізовані фізичним та юридичним особам, резидентам та нерезидентам України.</w:t>
            </w:r>
          </w:p>
          <w:p w:rsidR="00C30BA5" w:rsidRPr="00C30BA5" w:rsidRDefault="00C30BA5" w:rsidP="00C30BA5">
            <w:pPr>
              <w:numPr>
                <w:ilvl w:val="0"/>
                <w:numId w:val="1"/>
              </w:numPr>
              <w:spacing w:after="0" w:line="300" w:lineRule="atLeast"/>
              <w:ind w:left="0"/>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Облігаціям присвоєно рейтинг інвестиційного рівня авторитетним рейтинговим агентством.</w:t>
            </w:r>
          </w:p>
          <w:p w:rsidR="00C30BA5" w:rsidRPr="00C30BA5" w:rsidRDefault="00C30BA5" w:rsidP="00CD3D5D">
            <w:pPr>
              <w:spacing w:after="0" w:line="300" w:lineRule="atLeast"/>
              <w:jc w:val="both"/>
              <w:rPr>
                <w:rFonts w:ascii="Verdana" w:eastAsia="Times New Roman" w:hAnsi="Verdana" w:cs="Times New Roman"/>
                <w:color w:val="1E1E1E"/>
                <w:sz w:val="20"/>
                <w:szCs w:val="20"/>
                <w:lang w:val="uk-UA" w:eastAsia="ru-RU"/>
              </w:rPr>
            </w:pPr>
            <w:r w:rsidRPr="00C30BA5">
              <w:rPr>
                <w:rFonts w:ascii="Verdana" w:eastAsia="Times New Roman" w:hAnsi="Verdana" w:cs="Times New Roman"/>
                <w:color w:val="1E1E1E"/>
                <w:sz w:val="20"/>
                <w:szCs w:val="20"/>
                <w:lang w:val="uk-UA" w:eastAsia="ru-RU"/>
              </w:rPr>
              <w:t xml:space="preserve">За додатковою інформацією звертайтесь до відділу цінних паперів департаменту </w:t>
            </w:r>
            <w:r w:rsidR="00CD3D5D">
              <w:rPr>
                <w:rFonts w:ascii="Verdana" w:eastAsia="Times New Roman" w:hAnsi="Verdana" w:cs="Times New Roman"/>
                <w:color w:val="1E1E1E"/>
                <w:sz w:val="20"/>
                <w:szCs w:val="20"/>
                <w:lang w:val="uk-UA" w:eastAsia="ru-RU"/>
              </w:rPr>
              <w:t>операцій на фондовому ринку</w:t>
            </w:r>
            <w:r w:rsidRPr="00C30BA5">
              <w:rPr>
                <w:rFonts w:ascii="Verdana" w:eastAsia="Times New Roman" w:hAnsi="Verdana" w:cs="Times New Roman"/>
                <w:color w:val="1E1E1E"/>
                <w:sz w:val="20"/>
                <w:szCs w:val="20"/>
                <w:lang w:val="uk-UA" w:eastAsia="ru-RU"/>
              </w:rPr>
              <w:t xml:space="preserve"> АТ «ТАСКОМБАНК», контактний телефон: (044) 393-25-55</w:t>
            </w:r>
          </w:p>
        </w:tc>
      </w:tr>
    </w:tbl>
    <w:p w:rsidR="00C30BA5" w:rsidRPr="00CD3D5D" w:rsidRDefault="00C30BA5">
      <w:pPr>
        <w:rPr>
          <w:lang w:val="uk-UA"/>
        </w:rPr>
      </w:pPr>
    </w:p>
    <w:sectPr w:rsidR="00C30BA5" w:rsidRPr="00CD3D5D" w:rsidSect="000E49E4">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83A14"/>
    <w:multiLevelType w:val="multilevel"/>
    <w:tmpl w:val="9FD2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A5"/>
    <w:rsid w:val="0001543A"/>
    <w:rsid w:val="00022709"/>
    <w:rsid w:val="00056AE8"/>
    <w:rsid w:val="00076401"/>
    <w:rsid w:val="00095AAF"/>
    <w:rsid w:val="00096A93"/>
    <w:rsid w:val="000A7DF5"/>
    <w:rsid w:val="000B3A5A"/>
    <w:rsid w:val="000C0806"/>
    <w:rsid w:val="000E49E4"/>
    <w:rsid w:val="00102478"/>
    <w:rsid w:val="00113026"/>
    <w:rsid w:val="00135567"/>
    <w:rsid w:val="0014426F"/>
    <w:rsid w:val="00146C8E"/>
    <w:rsid w:val="00171636"/>
    <w:rsid w:val="0018272A"/>
    <w:rsid w:val="00182865"/>
    <w:rsid w:val="00190CF1"/>
    <w:rsid w:val="00197843"/>
    <w:rsid w:val="001A4C24"/>
    <w:rsid w:val="001C2E91"/>
    <w:rsid w:val="001D6288"/>
    <w:rsid w:val="001E36B9"/>
    <w:rsid w:val="00237B16"/>
    <w:rsid w:val="0026383A"/>
    <w:rsid w:val="00295175"/>
    <w:rsid w:val="002B03DE"/>
    <w:rsid w:val="002C1837"/>
    <w:rsid w:val="00300748"/>
    <w:rsid w:val="00306696"/>
    <w:rsid w:val="00315B64"/>
    <w:rsid w:val="0034286B"/>
    <w:rsid w:val="00355FD6"/>
    <w:rsid w:val="003663CC"/>
    <w:rsid w:val="003C6ECB"/>
    <w:rsid w:val="003F2419"/>
    <w:rsid w:val="00466C29"/>
    <w:rsid w:val="00471F6E"/>
    <w:rsid w:val="0047510D"/>
    <w:rsid w:val="00497B66"/>
    <w:rsid w:val="004C5EEC"/>
    <w:rsid w:val="004C6FAA"/>
    <w:rsid w:val="004E1BA8"/>
    <w:rsid w:val="00521343"/>
    <w:rsid w:val="0054421C"/>
    <w:rsid w:val="00553FD3"/>
    <w:rsid w:val="005A4E46"/>
    <w:rsid w:val="005C2C0B"/>
    <w:rsid w:val="00607AE6"/>
    <w:rsid w:val="00617AA3"/>
    <w:rsid w:val="00652551"/>
    <w:rsid w:val="00664E74"/>
    <w:rsid w:val="00677CDB"/>
    <w:rsid w:val="006A6CAF"/>
    <w:rsid w:val="006B6EFE"/>
    <w:rsid w:val="006F2F3F"/>
    <w:rsid w:val="00757063"/>
    <w:rsid w:val="00761DE6"/>
    <w:rsid w:val="00781AEB"/>
    <w:rsid w:val="007A12E8"/>
    <w:rsid w:val="007B593E"/>
    <w:rsid w:val="007C2D75"/>
    <w:rsid w:val="007D0F3D"/>
    <w:rsid w:val="00813F08"/>
    <w:rsid w:val="008231D3"/>
    <w:rsid w:val="00826708"/>
    <w:rsid w:val="0085227B"/>
    <w:rsid w:val="00872A93"/>
    <w:rsid w:val="008E124E"/>
    <w:rsid w:val="008F69CF"/>
    <w:rsid w:val="009126B5"/>
    <w:rsid w:val="00920574"/>
    <w:rsid w:val="0093182C"/>
    <w:rsid w:val="0093578D"/>
    <w:rsid w:val="0095588C"/>
    <w:rsid w:val="00966F00"/>
    <w:rsid w:val="00970388"/>
    <w:rsid w:val="00974A2B"/>
    <w:rsid w:val="009766DD"/>
    <w:rsid w:val="00987E3E"/>
    <w:rsid w:val="009A223D"/>
    <w:rsid w:val="009A41E7"/>
    <w:rsid w:val="009A4F49"/>
    <w:rsid w:val="009E645E"/>
    <w:rsid w:val="00A254CB"/>
    <w:rsid w:val="00A260A5"/>
    <w:rsid w:val="00A43BDC"/>
    <w:rsid w:val="00A4493C"/>
    <w:rsid w:val="00A46419"/>
    <w:rsid w:val="00A607CC"/>
    <w:rsid w:val="00A60C44"/>
    <w:rsid w:val="00A90DD1"/>
    <w:rsid w:val="00A9491C"/>
    <w:rsid w:val="00AA0D29"/>
    <w:rsid w:val="00AB2DF7"/>
    <w:rsid w:val="00AB2E43"/>
    <w:rsid w:val="00AF63D3"/>
    <w:rsid w:val="00B030B7"/>
    <w:rsid w:val="00B333FA"/>
    <w:rsid w:val="00B55F6F"/>
    <w:rsid w:val="00C13BBC"/>
    <w:rsid w:val="00C30BA5"/>
    <w:rsid w:val="00C3555B"/>
    <w:rsid w:val="00C5554D"/>
    <w:rsid w:val="00C6067F"/>
    <w:rsid w:val="00C7248D"/>
    <w:rsid w:val="00C74BFC"/>
    <w:rsid w:val="00C81023"/>
    <w:rsid w:val="00CD3D5D"/>
    <w:rsid w:val="00CE6CFD"/>
    <w:rsid w:val="00D42A2E"/>
    <w:rsid w:val="00D551C8"/>
    <w:rsid w:val="00D57F70"/>
    <w:rsid w:val="00D63369"/>
    <w:rsid w:val="00DD19F1"/>
    <w:rsid w:val="00DF672A"/>
    <w:rsid w:val="00E73D52"/>
    <w:rsid w:val="00E81B62"/>
    <w:rsid w:val="00EB3449"/>
    <w:rsid w:val="00F02111"/>
    <w:rsid w:val="00F0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0BA5"/>
    <w:rPr>
      <w:color w:val="0000FF"/>
      <w:u w:val="single"/>
    </w:rPr>
  </w:style>
  <w:style w:type="paragraph" w:styleId="a4">
    <w:name w:val="Normal (Web)"/>
    <w:basedOn w:val="a"/>
    <w:uiPriority w:val="99"/>
    <w:unhideWhenUsed/>
    <w:rsid w:val="00C3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0B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0BA5"/>
    <w:rPr>
      <w:color w:val="0000FF"/>
      <w:u w:val="single"/>
    </w:rPr>
  </w:style>
  <w:style w:type="paragraph" w:styleId="a4">
    <w:name w:val="Normal (Web)"/>
    <w:basedOn w:val="a"/>
    <w:uiPriority w:val="99"/>
    <w:unhideWhenUsed/>
    <w:rsid w:val="00C3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0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50320">
      <w:bodyDiv w:val="1"/>
      <w:marLeft w:val="0"/>
      <w:marRight w:val="0"/>
      <w:marTop w:val="0"/>
      <w:marBottom w:val="0"/>
      <w:divBdr>
        <w:top w:val="none" w:sz="0" w:space="0" w:color="auto"/>
        <w:left w:val="none" w:sz="0" w:space="0" w:color="auto"/>
        <w:bottom w:val="none" w:sz="0" w:space="0" w:color="auto"/>
        <w:right w:val="none" w:sz="0" w:space="0" w:color="auto"/>
      </w:divBdr>
      <w:divsChild>
        <w:div w:id="105638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ombank.com.ua/documents/sv_vo_E.PDF" TargetMode="External"/><Relationship Id="rId3" Type="http://schemas.microsoft.com/office/2007/relationships/stylesWithEffects" Target="stylesWithEffects.xml"/><Relationship Id="rId7" Type="http://schemas.openxmlformats.org/officeDocument/2006/relationships/hyperlink" Target="http://www.tascombank.com.ua/documents/prospekt_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combank.com.ua/documents/capital_issues/prospectus_e.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scombank.com.ua/documents/Sv-vo_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Карелін Артем Валерійович</dc:creator>
  <cp:lastModifiedBy>Карелін Артем Валерійович</cp:lastModifiedBy>
  <cp:revision>3</cp:revision>
  <dcterms:created xsi:type="dcterms:W3CDTF">2018-07-11T13:11:00Z</dcterms:created>
  <dcterms:modified xsi:type="dcterms:W3CDTF">2018-07-11T13:29:00Z</dcterms:modified>
</cp:coreProperties>
</file>